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宁夏消防行业企业信用等级评价管理办法</w:t>
      </w:r>
    </w:p>
    <w:p>
      <w:pPr>
        <w:ind w:firstLine="3200" w:firstLineChars="10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第一章 总则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第一条 </w:t>
      </w:r>
      <w:r>
        <w:rPr>
          <w:rFonts w:hint="eastAsia" w:ascii="仿宋" w:hAnsi="仿宋" w:eastAsia="仿宋"/>
          <w:sz w:val="32"/>
          <w:szCs w:val="32"/>
        </w:rPr>
        <w:t>为建立我区消防行业企业自律和社会信用体系建设，规范行业市场行为，提高消防行业公信力，促进会员企业健康有续发展，特制定本办法。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第二条 </w:t>
      </w:r>
      <w:r>
        <w:rPr>
          <w:rFonts w:hint="eastAsia" w:ascii="仿宋" w:hAnsi="仿宋" w:eastAsia="仿宋"/>
          <w:sz w:val="32"/>
          <w:szCs w:val="32"/>
        </w:rPr>
        <w:t>企业信用等级评价是根据规范指标体系和科学的评估方法，以客观公正的立场，对企业的信用状况进行的综合评价，是建立在定量基础上的定性判断，并以一定的符号表示其信用等级，同时向社会公示和推广的活动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企业信用等级评价遵循为会员服务，企业自愿申报，评价公开、公平、公正的原则。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企业信用等级有效期为三年，每年复审一次，三年期满后应重新评审。获</w:t>
      </w:r>
      <w:r>
        <w:rPr>
          <w:rFonts w:hint="eastAsia" w:ascii="仿宋" w:hAnsi="仿宋" w:eastAsia="仿宋"/>
          <w:color w:val="auto"/>
          <w:sz w:val="32"/>
          <w:szCs w:val="32"/>
        </w:rPr>
        <w:t>A级以上信用等级的企业在信用等级有效期内，可申请升级评审。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本办法适用于我区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消防产品生产销售、安装施工、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检测、维保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社会消防安全培训机构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取得合法资质的企业。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第二章 申报条件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申报的条件：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 依法登记注册的企业法人。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 成立已满一个会计年度，近一年均有主营业务收入，企业处于持续经营状态。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 必须是协会会员单位满一年，且自觉履行会员义务，积极参加协会各项业务活动。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取得信用等级的企业在有效期满后继续申报或申请升级评审的，需提前3个月重新提交《宁夏消防行业企业信用等级评价申报表》。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第八条 </w:t>
      </w:r>
      <w:r>
        <w:rPr>
          <w:rFonts w:hint="eastAsia" w:ascii="仿宋" w:hAnsi="仿宋" w:eastAsia="仿宋"/>
          <w:sz w:val="32"/>
          <w:szCs w:val="32"/>
        </w:rPr>
        <w:t>在有效期内，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获A级以上信用等级的企业需接受年度复评</w:t>
      </w:r>
      <w:r>
        <w:rPr>
          <w:rFonts w:hint="eastAsia" w:ascii="仿宋" w:hAnsi="仿宋" w:eastAsia="仿宋"/>
          <w:sz w:val="32"/>
          <w:szCs w:val="32"/>
        </w:rPr>
        <w:t>，每次年度复评需提前3个月向协会提交《宁夏消防行业企业信用等级评价复评申报表》。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第三章 信用等级与评价指标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信用等级划分：AAAAA、AAAA、AAA、AA、A五级。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信用等级划分标准与释义见下表：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信用等级划分标准与释义表</w:t>
      </w:r>
    </w:p>
    <w:tbl>
      <w:tblPr>
        <w:tblStyle w:val="6"/>
        <w:tblW w:w="831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030"/>
        <w:gridCol w:w="661"/>
        <w:gridCol w:w="5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计分标准</w:t>
            </w:r>
          </w:p>
        </w:tc>
        <w:tc>
          <w:tcPr>
            <w:tcW w:w="5744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ind w:firstLine="2240" w:firstLineChars="7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释 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下限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（含）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上限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AAAAA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</w:t>
            </w:r>
          </w:p>
        </w:tc>
        <w:tc>
          <w:tcPr>
            <w:tcW w:w="5744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具有极强的经济偿付能力，不确定性因素对其经营和发展的影响极小。技术质量过硬，质量服务管理体系完善。信用状况很好，信用管理体系科学、规范，企业陷入危机风险困境的可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能性极小。具有很强的社会责任感，履行相关合同的能力和意愿强，违约风险极小，模范遵守《宁夏消防行业自律公约》，本年度无行政主管部门处罚记录，能积极参加消防协会各项活动，关心支持消防协会发展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AAAA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89</w:t>
            </w:r>
          </w:p>
        </w:tc>
        <w:tc>
          <w:tcPr>
            <w:tcW w:w="5744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有很强的经济偿付能力，不确定性因素对其经营和发展的影响小。技术业务过硬，质量管理体系较为完善。建立了基本的企业信用管理体系，企业陷入危机风险困境的可能性小。具有较强的社会责任感。受不利经济环境的影响不大，违约风险小。模范遵守宁夏消防行业自律公约，无行政主管部门处罚记录。能积极参加消防协会各项活动，关心支持消防协会发展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AAA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5744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具有较强的经济偿付能力，不确定性因素对其经营和发展的影响较小，技术业务过硬，质量管理体系基本建立。建立了初步的信用管理体系，企业陷入危机风险困境的可能性较小。具有一定的社会责任感。与AAAA等级相比，较易受到经济环境的影响，违约风险较低。模范遵守宁夏消防行业自律公约，无行政主管部门处罚记录。能积极参加消防协会各项活动，关心支持消防协会发展建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AA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5744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经营状况一般，盈利、运营、偿债、发展上的能力一般，技术业务一般，质量管理体系初步建立,信用状况一般。在行业监管政策或经济环境发生变化时，经营状况有一定波动，对企业履行相关合同的能力有影响，受经济环境的影响较大，违约风险较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66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59</w:t>
            </w:r>
          </w:p>
        </w:tc>
        <w:tc>
          <w:tcPr>
            <w:tcW w:w="5744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经济偿付能力较弱，技术业务不过硬，没有建立质量管理体系,信用状况较差。在行业监管政策或者经济环境发生变化时，经营状况波动较大，对企业履行相关合同的能力有很大影响，有较高的违约风险。</w:t>
            </w:r>
          </w:p>
        </w:tc>
      </w:tr>
    </w:tbl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 xml:space="preserve"> 企业信用等级评价的主要内容包括基础信用、经营能力、</w:t>
      </w:r>
      <w:r>
        <w:rPr>
          <w:rFonts w:hint="eastAsia" w:ascii="仿宋" w:hAnsi="仿宋" w:eastAsia="仿宋"/>
          <w:sz w:val="32"/>
          <w:szCs w:val="32"/>
          <w:lang w:eastAsia="zh-CN"/>
        </w:rPr>
        <w:t>财务实力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质量管理</w:t>
      </w:r>
      <w:r>
        <w:rPr>
          <w:rFonts w:hint="eastAsia" w:ascii="仿宋" w:hAnsi="仿宋" w:eastAsia="仿宋"/>
          <w:sz w:val="32"/>
          <w:szCs w:val="32"/>
        </w:rPr>
        <w:t>、管理能力、社会责任履行、</w:t>
      </w:r>
      <w:r>
        <w:rPr>
          <w:rFonts w:hint="eastAsia" w:ascii="仿宋" w:hAnsi="仿宋" w:eastAsia="仿宋"/>
          <w:sz w:val="32"/>
          <w:szCs w:val="32"/>
          <w:lang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信用记录等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个方面。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（一）基础信用：评价企业的</w:t>
      </w:r>
      <w:r>
        <w:rPr>
          <w:rFonts w:hint="eastAsia" w:ascii="仿宋" w:hAnsi="仿宋" w:eastAsia="仿宋"/>
          <w:sz w:val="32"/>
          <w:szCs w:val="32"/>
          <w:lang w:eastAsia="zh-CN"/>
        </w:rPr>
        <w:t>从业条件、</w:t>
      </w:r>
      <w:r>
        <w:rPr>
          <w:rFonts w:hint="eastAsia" w:ascii="仿宋" w:hAnsi="仿宋" w:eastAsia="仿宋"/>
          <w:sz w:val="32"/>
          <w:szCs w:val="32"/>
        </w:rPr>
        <w:t>有关消防资质、会员年限等基础信用</w:t>
      </w:r>
      <w:r>
        <w:rPr>
          <w:rFonts w:hint="eastAsia" w:ascii="仿宋" w:hAnsi="仿宋" w:eastAsia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（二）经营能力：评价企业的经营业绩、技术</w:t>
      </w:r>
      <w:r>
        <w:rPr>
          <w:rFonts w:hint="eastAsia" w:ascii="仿宋" w:hAnsi="仿宋" w:eastAsia="仿宋"/>
          <w:sz w:val="32"/>
          <w:szCs w:val="32"/>
          <w:lang w:eastAsia="zh-CN"/>
        </w:rPr>
        <w:t>力量、</w:t>
      </w:r>
      <w:r>
        <w:rPr>
          <w:rFonts w:hint="eastAsia" w:ascii="仿宋" w:hAnsi="仿宋" w:eastAsia="仿宋"/>
          <w:sz w:val="32"/>
          <w:szCs w:val="32"/>
        </w:rPr>
        <w:t>设备状况等。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（三）质量管理</w:t>
      </w:r>
      <w:r>
        <w:rPr>
          <w:rFonts w:hint="eastAsia" w:ascii="仿宋" w:hAnsi="仿宋" w:eastAsia="仿宋"/>
          <w:color w:val="auto"/>
          <w:sz w:val="32"/>
          <w:szCs w:val="32"/>
        </w:rPr>
        <w:t>：评价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检测维保型</w:t>
      </w:r>
      <w:r>
        <w:rPr>
          <w:rFonts w:hint="eastAsia" w:ascii="仿宋" w:hAnsi="仿宋" w:eastAsia="仿宋"/>
          <w:color w:val="auto"/>
          <w:sz w:val="32"/>
          <w:szCs w:val="32"/>
        </w:rPr>
        <w:t>企业的合同管理、质量保证能力建设、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/>
          <w:color w:val="auto"/>
          <w:sz w:val="32"/>
          <w:szCs w:val="32"/>
        </w:rPr>
        <w:t>服务管理等。</w:t>
      </w:r>
    </w:p>
    <w:p>
      <w:pPr>
        <w:numPr>
          <w:ilvl w:val="0"/>
          <w:numId w:val="0"/>
        </w:num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）管理能力：评价企业的公司治理结构、人力资源、营销管理、客户管理等。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）社会责任履行：评价企业对环境、职工权益、职工人身健康等的保障能力。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财务实力：评价了解企业运营状况，考察企业在</w:t>
      </w:r>
      <w:r>
        <w:rPr>
          <w:rFonts w:hint="eastAsia" w:ascii="仿宋" w:hAnsi="仿宋" w:eastAsia="仿宋"/>
          <w:sz w:val="32"/>
          <w:szCs w:val="32"/>
        </w:rPr>
        <w:t>行业监管政策或者经济环境发生变化时</w:t>
      </w:r>
      <w:r>
        <w:rPr>
          <w:rFonts w:hint="eastAsia" w:ascii="仿宋" w:hAnsi="仿宋" w:eastAsia="仿宋"/>
          <w:sz w:val="32"/>
          <w:szCs w:val="32"/>
          <w:lang w:eastAsia="zh-CN"/>
        </w:rPr>
        <w:t>的履约能力。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（七）社会信用记录：包括社会影响、信用记录、行政处罚和失信行为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ascii="仿宋" w:hAnsi="仿宋" w:eastAsia="仿宋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对信用表现优秀的企业予以加分奖励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加分内容（获得国家级荣誉表彰的每项加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分，获得省级表彰荣誉的每一项加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分，获得年度优秀会员的加1分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对协会有重大贡献的加4分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第十二条</w:t>
      </w:r>
      <w:r>
        <w:rPr>
          <w:rFonts w:hint="eastAsia" w:ascii="仿宋" w:hAnsi="仿宋" w:eastAsia="仿宋"/>
          <w:sz w:val="32"/>
          <w:szCs w:val="32"/>
        </w:rPr>
        <w:t xml:space="preserve">  企业信用等级评价要素的权重综合表：</w:t>
      </w:r>
    </w:p>
    <w:tbl>
      <w:tblPr>
        <w:tblStyle w:val="6"/>
        <w:tblW w:w="831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445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要素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权重%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基础信用评价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经营能力评价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质量管理评价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管理能力评价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社会责任履行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财务实力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社会信用记录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附加得分</w:t>
            </w: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 计</w:t>
            </w:r>
          </w:p>
        </w:tc>
        <w:tc>
          <w:tcPr>
            <w:tcW w:w="4455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8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第四章 评价程序与办法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第十三条</w:t>
      </w:r>
      <w:r>
        <w:rPr>
          <w:rFonts w:hint="eastAsia" w:ascii="仿宋" w:hAnsi="仿宋" w:eastAsia="仿宋"/>
          <w:sz w:val="32"/>
          <w:szCs w:val="32"/>
        </w:rPr>
        <w:t xml:space="preserve"> 宁夏消防协会（以下简称“协会”）由协会评审专委会负责企业信用等级评价工作。其主要职责：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负责对上报会员企业的资料进行现场打分评审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公示期内，</w:t>
      </w:r>
      <w:r>
        <w:rPr>
          <w:rFonts w:hint="eastAsia" w:ascii="仿宋" w:hAnsi="仿宋" w:eastAsia="仿宋"/>
          <w:sz w:val="32"/>
          <w:szCs w:val="32"/>
        </w:rPr>
        <w:t>出现异议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的，重新进行复评复审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随机抽取评审专家，评审专家不得参与本单位的评选评审。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（四）参与制定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分标准和实施细则。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第十四条</w:t>
      </w:r>
      <w:r>
        <w:rPr>
          <w:rFonts w:hint="eastAsia" w:ascii="仿宋" w:hAnsi="仿宋" w:eastAsia="仿宋"/>
          <w:sz w:val="32"/>
          <w:szCs w:val="32"/>
        </w:rPr>
        <w:t xml:space="preserve"> 协会下设的行业发展部、会员服务部承担日常工作。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经协会评审专委会审核确认的初评结果在宁夏消防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/>
          <w:sz w:val="32"/>
          <w:szCs w:val="32"/>
        </w:rPr>
        <w:t>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</w:t>
      </w:r>
      <w:r>
        <w:rPr>
          <w:rFonts w:hint="eastAsia" w:ascii="仿宋" w:hAnsi="仿宋" w:eastAsia="仿宋"/>
          <w:sz w:val="32"/>
          <w:szCs w:val="32"/>
        </w:rPr>
        <w:t>进行公示，公示期为15天。公示期内任何单位或个人都可对评价结果提出异议。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第十六条 </w:t>
      </w:r>
      <w:r>
        <w:rPr>
          <w:rFonts w:hint="eastAsia" w:ascii="仿宋" w:hAnsi="仿宋" w:eastAsia="仿宋"/>
          <w:sz w:val="32"/>
          <w:szCs w:val="32"/>
        </w:rPr>
        <w:t>有异议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由行业发展部、会员服务部核实并提出处理意见，组织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专家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复核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第十七条</w:t>
      </w:r>
      <w:r>
        <w:rPr>
          <w:rFonts w:hint="eastAsia" w:ascii="仿宋" w:hAnsi="仿宋" w:eastAsia="仿宋"/>
          <w:sz w:val="32"/>
          <w:szCs w:val="32"/>
        </w:rPr>
        <w:t xml:space="preserve"> 经异议处理程序后的评价结果，报协会常务理事会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第十八条</w:t>
      </w:r>
      <w:r>
        <w:rPr>
          <w:rFonts w:hint="eastAsia" w:ascii="仿宋" w:hAnsi="仿宋" w:eastAsia="仿宋"/>
          <w:sz w:val="32"/>
          <w:szCs w:val="32"/>
        </w:rPr>
        <w:t xml:space="preserve"> 评价结果在宁夏消防</w:t>
      </w:r>
      <w:r>
        <w:rPr>
          <w:rFonts w:hint="eastAsia" w:ascii="仿宋" w:hAnsi="仿宋" w:eastAsia="仿宋"/>
          <w:sz w:val="32"/>
          <w:szCs w:val="32"/>
          <w:lang w:eastAsia="zh-CN"/>
        </w:rPr>
        <w:t>协会官方网站</w:t>
      </w:r>
      <w:r>
        <w:rPr>
          <w:rFonts w:hint="eastAsia" w:ascii="仿宋" w:hAnsi="仿宋" w:eastAsia="仿宋"/>
          <w:sz w:val="32"/>
          <w:szCs w:val="32"/>
        </w:rPr>
        <w:t>、微信公众号发布（并标注信用</w:t>
      </w:r>
      <w:r>
        <w:rPr>
          <w:rFonts w:hint="eastAsia" w:ascii="仿宋" w:hAnsi="仿宋" w:eastAsia="仿宋"/>
          <w:sz w:val="32"/>
          <w:szCs w:val="32"/>
          <w:lang w:eastAsia="zh-CN"/>
        </w:rPr>
        <w:t>符号</w:t>
      </w:r>
      <w:r>
        <w:rPr>
          <w:rFonts w:hint="eastAsia" w:ascii="仿宋" w:hAnsi="仿宋" w:eastAsia="仿宋"/>
          <w:sz w:val="32"/>
          <w:szCs w:val="32"/>
        </w:rPr>
        <w:t>），向社会信用网站推送，在年度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工作总结</w:t>
      </w:r>
      <w:r>
        <w:rPr>
          <w:rFonts w:hint="eastAsia" w:ascii="仿宋" w:hAnsi="仿宋" w:eastAsia="仿宋"/>
          <w:sz w:val="32"/>
          <w:szCs w:val="32"/>
        </w:rPr>
        <w:t>表彰大会上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进行表彰</w:t>
      </w:r>
      <w:r>
        <w:rPr>
          <w:rFonts w:hint="eastAsia" w:ascii="仿宋" w:hAnsi="仿宋" w:eastAsia="仿宋"/>
          <w:sz w:val="32"/>
          <w:szCs w:val="32"/>
        </w:rPr>
        <w:t>，通报企业信用等级评价结果，并颁发企业信用等级证书和牌匾。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第十九条 </w:t>
      </w:r>
      <w:r>
        <w:rPr>
          <w:rFonts w:hint="eastAsia" w:ascii="仿宋" w:hAnsi="仿宋" w:eastAsia="仿宋"/>
          <w:sz w:val="32"/>
          <w:szCs w:val="32"/>
        </w:rPr>
        <w:t>在信用等级有效期内，企业如有下列失信行为之一的，将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取消</w:t>
      </w:r>
      <w:r>
        <w:rPr>
          <w:rFonts w:hint="eastAsia" w:ascii="仿宋" w:hAnsi="仿宋" w:eastAsia="仿宋"/>
          <w:sz w:val="32"/>
          <w:szCs w:val="32"/>
        </w:rPr>
        <w:t>该企业的现有信用等级并予公示：</w:t>
      </w:r>
    </w:p>
    <w:p>
      <w:pPr>
        <w:pStyle w:val="8"/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严重违反国家法律法规，弄虚作假丧失诚信，接受行政处罚的，经有关部门确认的。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（二）经营过程中因自身过错，造成国家、集体和他人利益重大损失或媒体曝光，经有关部门确认存在质量问题，在社会上造成严重不良影响的。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（三）企业由相关行业主管部门通报批评的。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（四）涂改、伪造、转让、骗取证照和超越企业资质等级许可范围被有关部门通报、处罚的。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hint="eastAsia" w:ascii="仿宋" w:hAnsi="仿宋" w:eastAsia="仿宋"/>
          <w:color w:val="auto"/>
          <w:sz w:val="32"/>
          <w:szCs w:val="32"/>
        </w:rPr>
        <w:t>与建设单位</w:t>
      </w:r>
      <w:r>
        <w:rPr>
          <w:rFonts w:hint="eastAsia" w:ascii="仿宋" w:hAnsi="仿宋" w:eastAsia="仿宋"/>
          <w:sz w:val="32"/>
          <w:szCs w:val="32"/>
        </w:rPr>
        <w:t>或者企业之间相互串通投标，或者以行贿等不正当手段谋取中标被通报处理的。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/>
          <w:sz w:val="32"/>
          <w:szCs w:val="32"/>
        </w:rPr>
        <w:t>消防技术服务</w:t>
      </w:r>
      <w:r>
        <w:rPr>
          <w:rFonts w:hint="eastAsia" w:ascii="仿宋" w:hAnsi="仿宋" w:eastAsia="仿宋"/>
          <w:sz w:val="32"/>
          <w:szCs w:val="32"/>
          <w:lang w:eastAsia="zh-CN"/>
        </w:rPr>
        <w:t>机构检测、维保技术服务质量不过关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  <w:lang w:eastAsia="zh-CN"/>
        </w:rPr>
        <w:t>出具虚假检测报告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受到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行业主管部门行政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处罚的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（七）因违法、违规行为受到行政处罚的。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（八）长期不参加协会组织的各项活动，不遵守《宁夏消防行业自律公约》的。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第五章 监督管理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第二十条</w:t>
      </w:r>
      <w:r>
        <w:rPr>
          <w:rFonts w:hint="eastAsia" w:ascii="仿宋" w:hAnsi="仿宋" w:eastAsia="仿宋"/>
          <w:sz w:val="32"/>
          <w:szCs w:val="32"/>
        </w:rPr>
        <w:t xml:space="preserve"> 协会评审专委会在信用等级评价工作中要自觉遵守国家有关法律、法规，协会抽取的评审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不得参与本企业的评价工作，接受社会公众的监督。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第二十一条 </w:t>
      </w:r>
      <w:r>
        <w:rPr>
          <w:rFonts w:hint="eastAsia" w:ascii="仿宋" w:hAnsi="仿宋" w:eastAsia="仿宋"/>
          <w:sz w:val="32"/>
          <w:szCs w:val="32"/>
        </w:rPr>
        <w:t>对参评企业所提供的各类信息，要严格执行信息保密制度，公开涉及商业秘密和个人隐私的信息，必须取得权利人授权。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第二十二条</w:t>
      </w:r>
      <w:r>
        <w:rPr>
          <w:rFonts w:hint="eastAsia" w:ascii="仿宋" w:hAnsi="仿宋" w:eastAsia="仿宋"/>
          <w:sz w:val="32"/>
          <w:szCs w:val="32"/>
        </w:rPr>
        <w:t xml:space="preserve"> 协会实时监督取得信用等级的企业，随时调查了解企业信用的动态状况。取得信用等级的企业须自觉接受协会和社会各界的监督。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第二十三条</w:t>
      </w:r>
      <w:r>
        <w:rPr>
          <w:rFonts w:hint="eastAsia" w:ascii="仿宋" w:hAnsi="仿宋" w:eastAsia="仿宋"/>
          <w:sz w:val="32"/>
          <w:szCs w:val="32"/>
        </w:rPr>
        <w:t xml:space="preserve"> 企业可以在以下方面使用信用等级评价的结果：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 法律法规允许的企业形象宣传。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消防技术服务机构服务质量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 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社会单位、</w:t>
      </w:r>
      <w:r>
        <w:rPr>
          <w:rFonts w:hint="eastAsia" w:ascii="仿宋" w:hAnsi="仿宋" w:eastAsia="仿宋"/>
          <w:sz w:val="32"/>
          <w:szCs w:val="32"/>
        </w:rPr>
        <w:t>客户展示企业信用能力。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 向政府监管机构通报企业信用等级。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 其他需要使用信用等级评价证书和标识的情况。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第六章 附则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第二十四条</w:t>
      </w:r>
      <w:r>
        <w:rPr>
          <w:rFonts w:hint="eastAsia" w:ascii="仿宋" w:hAnsi="仿宋" w:eastAsia="仿宋"/>
          <w:sz w:val="32"/>
          <w:szCs w:val="32"/>
        </w:rPr>
        <w:t xml:space="preserve"> 本办法由宁夏消防协会负责解释。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第二十五条</w:t>
      </w:r>
      <w:r>
        <w:rPr>
          <w:rFonts w:hint="eastAsia" w:ascii="仿宋" w:hAnsi="仿宋" w:eastAsia="仿宋"/>
          <w:sz w:val="32"/>
          <w:szCs w:val="32"/>
        </w:rPr>
        <w:t xml:space="preserve"> 本办法自发布之日起实行。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vanish/>
          <w:sz w:val="44"/>
          <w:szCs w:val="44"/>
          <w:lang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rPr>
          <w:rFonts w:ascii="仿宋" w:hAnsi="仿宋" w:eastAsia="仿宋"/>
          <w:vanish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8A4E3D3-7342-49E6-9499-A04B8621326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F593AD5-ABF3-47F2-8208-107FF4724A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088248-8B33-4567-B5C9-5E2FDFD30FC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FCDCC4-4C00-4962-811A-04F099DEF5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jM1ZDY5ZjJkNmQzMTAxNDUyOGMwMjhjMWMyZTQifQ=="/>
    <w:docVar w:name="KSO_WPS_MARK_KEY" w:val="f73832cb-361c-4b77-9ea2-cdca12b23477"/>
  </w:docVars>
  <w:rsids>
    <w:rsidRoot w:val="00355C27"/>
    <w:rsid w:val="00003285"/>
    <w:rsid w:val="00010B51"/>
    <w:rsid w:val="00027135"/>
    <w:rsid w:val="00064347"/>
    <w:rsid w:val="0006713B"/>
    <w:rsid w:val="000A0866"/>
    <w:rsid w:val="000B12A2"/>
    <w:rsid w:val="000F45F7"/>
    <w:rsid w:val="0012096E"/>
    <w:rsid w:val="00181A06"/>
    <w:rsid w:val="00193280"/>
    <w:rsid w:val="00197D64"/>
    <w:rsid w:val="001A1F86"/>
    <w:rsid w:val="001A25A5"/>
    <w:rsid w:val="001A5123"/>
    <w:rsid w:val="001E1A60"/>
    <w:rsid w:val="001E1EB7"/>
    <w:rsid w:val="00235794"/>
    <w:rsid w:val="002450A1"/>
    <w:rsid w:val="002551A7"/>
    <w:rsid w:val="0028451B"/>
    <w:rsid w:val="00287431"/>
    <w:rsid w:val="002B721C"/>
    <w:rsid w:val="002E2744"/>
    <w:rsid w:val="002E5CEA"/>
    <w:rsid w:val="002F7FDF"/>
    <w:rsid w:val="003000D0"/>
    <w:rsid w:val="00301237"/>
    <w:rsid w:val="00306BCF"/>
    <w:rsid w:val="00336E1F"/>
    <w:rsid w:val="00346037"/>
    <w:rsid w:val="00355B0D"/>
    <w:rsid w:val="00355C27"/>
    <w:rsid w:val="003940BF"/>
    <w:rsid w:val="003A63AC"/>
    <w:rsid w:val="003B2C77"/>
    <w:rsid w:val="003F3EA7"/>
    <w:rsid w:val="003F68CD"/>
    <w:rsid w:val="00405D5C"/>
    <w:rsid w:val="00406F82"/>
    <w:rsid w:val="004342DB"/>
    <w:rsid w:val="00453A5F"/>
    <w:rsid w:val="004C1CE5"/>
    <w:rsid w:val="004D2C4F"/>
    <w:rsid w:val="004E4AD4"/>
    <w:rsid w:val="004F262E"/>
    <w:rsid w:val="005465EF"/>
    <w:rsid w:val="00581AEC"/>
    <w:rsid w:val="005D62D5"/>
    <w:rsid w:val="005E24A3"/>
    <w:rsid w:val="005E4F2D"/>
    <w:rsid w:val="005F2096"/>
    <w:rsid w:val="005F23F0"/>
    <w:rsid w:val="00637572"/>
    <w:rsid w:val="006420F6"/>
    <w:rsid w:val="00675443"/>
    <w:rsid w:val="006B787C"/>
    <w:rsid w:val="006E4045"/>
    <w:rsid w:val="006F6BE2"/>
    <w:rsid w:val="007201A2"/>
    <w:rsid w:val="00721B1E"/>
    <w:rsid w:val="007565C0"/>
    <w:rsid w:val="00756845"/>
    <w:rsid w:val="0078048A"/>
    <w:rsid w:val="0080471F"/>
    <w:rsid w:val="00815990"/>
    <w:rsid w:val="0082020B"/>
    <w:rsid w:val="008274A5"/>
    <w:rsid w:val="0084442E"/>
    <w:rsid w:val="008675F2"/>
    <w:rsid w:val="008739DB"/>
    <w:rsid w:val="0088560E"/>
    <w:rsid w:val="0089475E"/>
    <w:rsid w:val="009042E5"/>
    <w:rsid w:val="009052FA"/>
    <w:rsid w:val="009100B5"/>
    <w:rsid w:val="00945D75"/>
    <w:rsid w:val="00962B9A"/>
    <w:rsid w:val="009741B7"/>
    <w:rsid w:val="00986BF7"/>
    <w:rsid w:val="009A232A"/>
    <w:rsid w:val="009C2941"/>
    <w:rsid w:val="009D6820"/>
    <w:rsid w:val="009E6FCE"/>
    <w:rsid w:val="00A00C2F"/>
    <w:rsid w:val="00A16752"/>
    <w:rsid w:val="00A2066C"/>
    <w:rsid w:val="00A711A6"/>
    <w:rsid w:val="00A83381"/>
    <w:rsid w:val="00A92489"/>
    <w:rsid w:val="00A9447F"/>
    <w:rsid w:val="00AA5452"/>
    <w:rsid w:val="00AC72AA"/>
    <w:rsid w:val="00B277C0"/>
    <w:rsid w:val="00B74762"/>
    <w:rsid w:val="00BA1D04"/>
    <w:rsid w:val="00C24463"/>
    <w:rsid w:val="00C46D96"/>
    <w:rsid w:val="00C76F61"/>
    <w:rsid w:val="00C77210"/>
    <w:rsid w:val="00C77CDF"/>
    <w:rsid w:val="00C875FD"/>
    <w:rsid w:val="00C96536"/>
    <w:rsid w:val="00CC0847"/>
    <w:rsid w:val="00CC4FC3"/>
    <w:rsid w:val="00CD67E8"/>
    <w:rsid w:val="00D219E6"/>
    <w:rsid w:val="00D24AA4"/>
    <w:rsid w:val="00D37BC9"/>
    <w:rsid w:val="00D77C18"/>
    <w:rsid w:val="00D95DC4"/>
    <w:rsid w:val="00DB057C"/>
    <w:rsid w:val="00DB0F65"/>
    <w:rsid w:val="00DC5B42"/>
    <w:rsid w:val="00DD29A6"/>
    <w:rsid w:val="00DE7379"/>
    <w:rsid w:val="00E06E17"/>
    <w:rsid w:val="00E66573"/>
    <w:rsid w:val="00E76838"/>
    <w:rsid w:val="00E91923"/>
    <w:rsid w:val="00E96CBD"/>
    <w:rsid w:val="00EB7391"/>
    <w:rsid w:val="00EE0B47"/>
    <w:rsid w:val="00EE4B72"/>
    <w:rsid w:val="00EF51AE"/>
    <w:rsid w:val="00EF6C4E"/>
    <w:rsid w:val="00F12426"/>
    <w:rsid w:val="00F133DA"/>
    <w:rsid w:val="00F17A61"/>
    <w:rsid w:val="00F34F3A"/>
    <w:rsid w:val="00F354A2"/>
    <w:rsid w:val="00F560F6"/>
    <w:rsid w:val="00F63F05"/>
    <w:rsid w:val="00F7166F"/>
    <w:rsid w:val="00F83750"/>
    <w:rsid w:val="00F95F89"/>
    <w:rsid w:val="00FA2E16"/>
    <w:rsid w:val="00FC3ED2"/>
    <w:rsid w:val="00FC7319"/>
    <w:rsid w:val="00FC76F4"/>
    <w:rsid w:val="00FE7A7B"/>
    <w:rsid w:val="08D62D64"/>
    <w:rsid w:val="0A54477F"/>
    <w:rsid w:val="0AB3259A"/>
    <w:rsid w:val="0CD71FAE"/>
    <w:rsid w:val="15C03132"/>
    <w:rsid w:val="1BF04B8B"/>
    <w:rsid w:val="210F6CE3"/>
    <w:rsid w:val="238E2E63"/>
    <w:rsid w:val="24CC0622"/>
    <w:rsid w:val="25B63E04"/>
    <w:rsid w:val="27D97F6F"/>
    <w:rsid w:val="28376CB7"/>
    <w:rsid w:val="30B44E5F"/>
    <w:rsid w:val="31F75324"/>
    <w:rsid w:val="35265007"/>
    <w:rsid w:val="36643DCC"/>
    <w:rsid w:val="37841C54"/>
    <w:rsid w:val="3DD56EAC"/>
    <w:rsid w:val="3E8E1168"/>
    <w:rsid w:val="437D5D0D"/>
    <w:rsid w:val="441E175E"/>
    <w:rsid w:val="4CF751F5"/>
    <w:rsid w:val="507D3D1D"/>
    <w:rsid w:val="511303DA"/>
    <w:rsid w:val="56A80039"/>
    <w:rsid w:val="5E325597"/>
    <w:rsid w:val="61305011"/>
    <w:rsid w:val="620D3571"/>
    <w:rsid w:val="64100D20"/>
    <w:rsid w:val="641044AB"/>
    <w:rsid w:val="65EE1ECF"/>
    <w:rsid w:val="6A0C2171"/>
    <w:rsid w:val="6BC4163B"/>
    <w:rsid w:val="6CF40A2F"/>
    <w:rsid w:val="700B37FF"/>
    <w:rsid w:val="7E4B7EAE"/>
    <w:rsid w:val="7EEC4ADA"/>
    <w:rsid w:val="7FD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group-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8FFA5-D065-4F6E-90F7-DEEA6C991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10</Pages>
  <Words>3298</Words>
  <Characters>3345</Characters>
  <Lines>24</Lines>
  <Paragraphs>6</Paragraphs>
  <TotalTime>45</TotalTime>
  <ScaleCrop>false</ScaleCrop>
  <LinksUpToDate>false</LinksUpToDate>
  <CharactersWithSpaces>3575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2022-04-01T02:05:00Z</dcterms:created>
  <dc:creator>Administrator</dc:creator>
  <cp:lastModifiedBy>lenovo</cp:lastModifiedBy>
  <cp:lastPrinted>2023-12-01T03:10:51Z</cp:lastPrinted>
  <dcterms:modified xsi:type="dcterms:W3CDTF">2023-12-01T03:11:30Z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2DCFF020ED744C1FAE46E273905B902C_13</vt:lpwstr>
  </property>
</Properties>
</file>